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69" w:rsidRDefault="00196F6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96F69" w:rsidRDefault="00196F69">
      <w:pPr>
        <w:pStyle w:val="ConsPlusNormal"/>
        <w:jc w:val="both"/>
        <w:outlineLvl w:val="0"/>
      </w:pPr>
    </w:p>
    <w:p w:rsidR="00196F69" w:rsidRDefault="00196F6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96F69" w:rsidRDefault="00196F69">
      <w:pPr>
        <w:pStyle w:val="ConsPlusTitle"/>
        <w:jc w:val="center"/>
      </w:pPr>
    </w:p>
    <w:p w:rsidR="00196F69" w:rsidRDefault="00196F69">
      <w:pPr>
        <w:pStyle w:val="ConsPlusTitle"/>
        <w:jc w:val="center"/>
      </w:pPr>
      <w:r>
        <w:t>РАСПОРЯЖЕНИЕ</w:t>
      </w:r>
    </w:p>
    <w:p w:rsidR="00196F69" w:rsidRDefault="00196F69">
      <w:pPr>
        <w:pStyle w:val="ConsPlusTitle"/>
        <w:jc w:val="center"/>
      </w:pPr>
      <w:r>
        <w:t>от 9 ноября 2020 г. N 2919-р</w:t>
      </w:r>
    </w:p>
    <w:p w:rsidR="00196F69" w:rsidRDefault="00196F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6F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F69" w:rsidRDefault="00196F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F69" w:rsidRDefault="00196F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6F69" w:rsidRDefault="00196F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6F69" w:rsidRDefault="00196F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20.10.2022 N 3091-р)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F69" w:rsidRDefault="00196F69">
            <w:pPr>
              <w:pStyle w:val="ConsPlusNormal"/>
            </w:pPr>
          </w:p>
        </w:tc>
      </w:tr>
    </w:tbl>
    <w:p w:rsidR="00196F69" w:rsidRDefault="00196F69">
      <w:pPr>
        <w:pStyle w:val="ConsPlusNormal"/>
        <w:jc w:val="both"/>
      </w:pPr>
    </w:p>
    <w:p w:rsidR="00196F69" w:rsidRDefault="00196F69">
      <w:pPr>
        <w:pStyle w:val="ConsPlusNormal"/>
        <w:ind w:firstLine="540"/>
        <w:jc w:val="both"/>
      </w:pPr>
      <w:r>
        <w:t xml:space="preserve">1. В соответствии с </w:t>
      </w:r>
      <w:hyperlink r:id="rId6">
        <w:r>
          <w:rPr>
            <w:color w:val="0000FF"/>
          </w:rPr>
          <w:t>подпунктом "б" пункта 2</w:t>
        </w:r>
      </w:hyperlink>
      <w:r>
        <w:t xml:space="preserve"> Указа Президента Российской Федерации от 9 августа 2020 г. N 505 "Об утверждении Стратегии государственной политики Российской Федерации в отношении российского казачества на 2021 - 2030 годы" утвердить прилагаемый </w:t>
      </w:r>
      <w:hyperlink w:anchor="P27">
        <w:r>
          <w:rPr>
            <w:color w:val="0000FF"/>
          </w:rPr>
          <w:t>перечень</w:t>
        </w:r>
      </w:hyperlink>
      <w:r>
        <w:t xml:space="preserve"> целевых показателей реализации Стратегии государственной политики Российской Федерации в отношении российского казачества на 2021 - 2030 годы.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2. ФАДН России: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 xml:space="preserve">а) обеспечить ежегодный мониторинг целевых показателей, указанных в </w:t>
      </w:r>
      <w:hyperlink w:anchor="P27">
        <w:r>
          <w:rPr>
            <w:color w:val="0000FF"/>
          </w:rPr>
          <w:t>перечне</w:t>
        </w:r>
      </w:hyperlink>
      <w:r>
        <w:t>, утвержденном настоящим распоряжением, с представлением докладов о результатах ежегодного мониторинга целевых показателей в Правительство Российской Федерации ежегодно, до 1 марта;</w:t>
      </w:r>
    </w:p>
    <w:p w:rsidR="00196F69" w:rsidRDefault="00196F69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Правительства РФ от 20.10.2022 N 3091-р)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 xml:space="preserve">б) в 6-месячный срок разработать совместно с заинтересованными федеральными органами исполнительной власти и утвердить </w:t>
      </w:r>
      <w:hyperlink r:id="rId8">
        <w:r>
          <w:rPr>
            <w:color w:val="0000FF"/>
          </w:rPr>
          <w:t>методику</w:t>
        </w:r>
      </w:hyperlink>
      <w:r>
        <w:t xml:space="preserve"> расчета целевых показателей, указанных в </w:t>
      </w:r>
      <w:hyperlink w:anchor="P27">
        <w:r>
          <w:rPr>
            <w:color w:val="0000FF"/>
          </w:rPr>
          <w:t>перечне</w:t>
        </w:r>
      </w:hyperlink>
      <w:r>
        <w:t>, утвержденном настоящим распоряжением.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Normal"/>
        <w:jc w:val="right"/>
      </w:pPr>
      <w:r>
        <w:t>Председатель Правительства</w:t>
      </w:r>
    </w:p>
    <w:p w:rsidR="00196F69" w:rsidRDefault="00196F69">
      <w:pPr>
        <w:pStyle w:val="ConsPlusNormal"/>
        <w:jc w:val="right"/>
      </w:pPr>
      <w:r>
        <w:t>Российской Федерации</w:t>
      </w:r>
    </w:p>
    <w:p w:rsidR="00196F69" w:rsidRDefault="00196F69">
      <w:pPr>
        <w:pStyle w:val="ConsPlusNormal"/>
        <w:jc w:val="right"/>
      </w:pPr>
      <w:r>
        <w:t>М.МИШУСТИН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Normal"/>
        <w:jc w:val="right"/>
        <w:outlineLvl w:val="0"/>
      </w:pPr>
      <w:r>
        <w:t>Утвержден</w:t>
      </w:r>
    </w:p>
    <w:p w:rsidR="00196F69" w:rsidRDefault="00196F69">
      <w:pPr>
        <w:pStyle w:val="ConsPlusNormal"/>
        <w:jc w:val="right"/>
      </w:pPr>
      <w:r>
        <w:t>распоряжением Правительства</w:t>
      </w:r>
    </w:p>
    <w:p w:rsidR="00196F69" w:rsidRDefault="00196F69">
      <w:pPr>
        <w:pStyle w:val="ConsPlusNormal"/>
        <w:jc w:val="right"/>
      </w:pPr>
      <w:r>
        <w:t>Российской Федерации</w:t>
      </w:r>
    </w:p>
    <w:p w:rsidR="00196F69" w:rsidRDefault="00196F69">
      <w:pPr>
        <w:pStyle w:val="ConsPlusNormal"/>
        <w:jc w:val="right"/>
      </w:pPr>
      <w:r>
        <w:t>от 9 ноября 2020 г. N 2919-р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Title"/>
        <w:jc w:val="center"/>
      </w:pPr>
      <w:bookmarkStart w:id="0" w:name="P27"/>
      <w:bookmarkEnd w:id="0"/>
      <w:r>
        <w:t>ПЕРЕЧЕНЬ</w:t>
      </w:r>
    </w:p>
    <w:p w:rsidR="00196F69" w:rsidRDefault="00196F69">
      <w:pPr>
        <w:pStyle w:val="ConsPlusTitle"/>
        <w:jc w:val="center"/>
      </w:pPr>
      <w:r>
        <w:t>ЦЕЛЕВЫХ ПОКАЗАТЕЛЕЙ РЕАЛИЗАЦИИ СТРАТЕГИИ ГОСУДАРСТВЕННОЙ</w:t>
      </w:r>
    </w:p>
    <w:p w:rsidR="00196F69" w:rsidRDefault="00196F69">
      <w:pPr>
        <w:pStyle w:val="ConsPlusTitle"/>
        <w:jc w:val="center"/>
      </w:pPr>
      <w:r>
        <w:t>ПОЛИТИКИ РОССИЙСКОЙ ФЕДЕРАЦИИ В ОТНОШЕНИИ РОССИЙСКОГО</w:t>
      </w:r>
    </w:p>
    <w:p w:rsidR="00196F69" w:rsidRDefault="00196F69">
      <w:pPr>
        <w:pStyle w:val="ConsPlusTitle"/>
        <w:jc w:val="center"/>
      </w:pPr>
      <w:r>
        <w:t>КАЗАЧЕСТВА НА 2021 - 2030 ГОДЫ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Title"/>
        <w:jc w:val="center"/>
        <w:outlineLvl w:val="1"/>
      </w:pPr>
      <w:r>
        <w:t>I. Целевые показатели, отражающие совершенствование</w:t>
      </w:r>
    </w:p>
    <w:p w:rsidR="00196F69" w:rsidRDefault="00196F69">
      <w:pPr>
        <w:pStyle w:val="ConsPlusTitle"/>
        <w:jc w:val="center"/>
      </w:pPr>
      <w:r>
        <w:t>механизма привлечения членов казачьих обществ к несению</w:t>
      </w:r>
    </w:p>
    <w:p w:rsidR="00196F69" w:rsidRDefault="00196F69">
      <w:pPr>
        <w:pStyle w:val="ConsPlusTitle"/>
        <w:jc w:val="center"/>
      </w:pPr>
      <w:r>
        <w:t>государственной или иной службы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Normal"/>
        <w:ind w:firstLine="540"/>
        <w:jc w:val="both"/>
      </w:pPr>
      <w:r>
        <w:t>1. Количество членов войсковых казачьих обществ, проходящих военную службу в Вооруженных Силах Российской Федерации, других войсках, воинских формированиях и органах.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 xml:space="preserve">2. Количество членов войсковых казачьих обществ, пребывающих в запасе, принявших </w:t>
      </w:r>
      <w:r>
        <w:lastRenderedPageBreak/>
        <w:t>участие в ежегодных военных сборах.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3. Количество членов войсковых казачьих обществ, привлеченных к несению государственной или иной службы, содействию государственным и муниципальным органам в осуществлении их полномочий, в том числе к участию: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в охране общественного порядка;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в защите государственной границы Российской Федерации;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в мероприятиях по предупреждению и ликвидации чрезвычайных ситуаций и ликвидации последствий стихийных бедствий;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в обеспечении пожарной безопасности, отработке совместных действий с пожарно-спасательными подразделениями, в том числе при проведении пожарно-тактических учений и занятий в рамках пожарно-спасательных гарнизонов;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в мероприятиях по охране и защите лесов 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среды;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4. Количество членов казачьих обществ и иных объединений казаков, задействованных в мероприятиях по профилактике немедицинского потребления наркотических средств и психотропных веществ.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5. Количество членов казачьих обществ, находящихся в кадровом резерве Всероссийского казачьего общества.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Title"/>
        <w:jc w:val="center"/>
        <w:outlineLvl w:val="1"/>
      </w:pPr>
      <w:r>
        <w:t>II. Целевые показатели, отражающие поддержку взаимодействия</w:t>
      </w:r>
    </w:p>
    <w:p w:rsidR="00196F69" w:rsidRDefault="00196F69">
      <w:pPr>
        <w:pStyle w:val="ConsPlusTitle"/>
        <w:jc w:val="center"/>
      </w:pPr>
      <w:r>
        <w:t>между казачьими обществами и иными объединениями казаков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Normal"/>
        <w:ind w:firstLine="540"/>
        <w:jc w:val="both"/>
      </w:pPr>
      <w:r>
        <w:t>6. Количество договоров (соглашений) о сотрудничестве между казачьими обществами и иными объединениями казаков.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7. Количество совместно реализованных социально ориентированных проектов казачьих обществ и иных объединений казаков, направленных на консолидацию российского казачества.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Title"/>
        <w:jc w:val="center"/>
        <w:outlineLvl w:val="1"/>
      </w:pPr>
      <w:r>
        <w:t>III. Целевые показатели, отражающие содействие воспитанию</w:t>
      </w:r>
    </w:p>
    <w:p w:rsidR="00196F69" w:rsidRDefault="00196F69">
      <w:pPr>
        <w:pStyle w:val="ConsPlusTitle"/>
        <w:jc w:val="center"/>
      </w:pPr>
      <w:r>
        <w:t>подрастающего поколения в духе патриотизма, гражданской</w:t>
      </w:r>
    </w:p>
    <w:p w:rsidR="00196F69" w:rsidRDefault="00196F69">
      <w:pPr>
        <w:pStyle w:val="ConsPlusTitle"/>
        <w:jc w:val="center"/>
      </w:pPr>
      <w:r>
        <w:t>ответственности и готовности к служению Отечеству с опорой</w:t>
      </w:r>
    </w:p>
    <w:p w:rsidR="00196F69" w:rsidRDefault="00196F69">
      <w:pPr>
        <w:pStyle w:val="ConsPlusTitle"/>
        <w:jc w:val="center"/>
      </w:pPr>
      <w:r>
        <w:t>на духовно-нравственные основы и ценности российского</w:t>
      </w:r>
    </w:p>
    <w:p w:rsidR="00196F69" w:rsidRDefault="00196F69">
      <w:pPr>
        <w:pStyle w:val="ConsPlusTitle"/>
        <w:jc w:val="center"/>
      </w:pPr>
      <w:r>
        <w:t>казачества, обеспечение участия российского казачества</w:t>
      </w:r>
    </w:p>
    <w:p w:rsidR="00196F69" w:rsidRDefault="00196F69">
      <w:pPr>
        <w:pStyle w:val="ConsPlusTitle"/>
        <w:jc w:val="center"/>
      </w:pPr>
      <w:r>
        <w:t>в реализации государственной молодежной политики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Normal"/>
        <w:ind w:firstLine="540"/>
        <w:jc w:val="both"/>
      </w:pPr>
      <w:r>
        <w:t>8. Количество образовательных организаций, реализующих образовательные программы с учетом культурно-исторических традиций и ценностей российского казачества.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9. Количество казачьих центров (сообществ, объединений) поддержки добровольчества (</w:t>
      </w:r>
      <w:proofErr w:type="spellStart"/>
      <w:r>
        <w:t>волонтерства</w:t>
      </w:r>
      <w:proofErr w:type="spellEnd"/>
      <w:r>
        <w:t>).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 xml:space="preserve">10. Количество и тираж изданных новых учебных и учебно-методических пособий по истории и культуре российского казачества, духовно-нравственному воспитанию для общеобразовательных </w:t>
      </w:r>
      <w:r>
        <w:lastRenderedPageBreak/>
        <w:t>организаций - казачьих кадетских корпусов с учетом задачи по формированию общероссийской гражданской идентичности.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11. Количество проведенных казачьими обществами и иными объединениями казаков патриотических акций, связанных в том числе с обустройством памятников и мест захоронения воинов, погибших при защите Отечества.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12. Количество проведенных с участием членов казачьих обществ и иных объединений казаков мероприятий, посвященных памятным датам истории России, дням славы русского оружия - дням воинской славы, иным датам, связанным с военной историей российского казачества.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13. Количество проведенных регулярных физкультурных мероприятий и соревнований всех уровней, направленных на физическое развитие казачьей молодежи, привлечению российского казачества к участию в мероприятиях по реализации Всероссийского физкультурно-спортивного комплекса "Готов к труду и обороне".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14. Количество мероприятий, направленных на научное изучение истории российского казачества, противодействие фальсификации страниц истории России, связанных с российским казачеством.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15. Количество туристских маршрутов по историческим местам, связанным с подвигами казаков - защитников Отечества.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16. Количество казачьих обществ, иных объединений казаков и их членов, участвующих в конкурсах на предоставление грантов Президента Российской Федерации и иных грантов, предоставляемых из средств федерального бюджета, бюджетов субъектов Российской Федерации и бюджетов муниципальных образований.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17. Количество казачьих молодежных центров.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18. Количество мероприятий, направленных на повышение престижа государственной службы среди казачьей молодежи.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19. Количество казачьих молодежных организаций, привлеченных к участию в мероприятиях по реализации государственной молодежной политики Российской Федерации.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Title"/>
        <w:jc w:val="center"/>
        <w:outlineLvl w:val="1"/>
      </w:pPr>
      <w:r>
        <w:t>IV. Целевые показатели, отражающие содействие сохранению</w:t>
      </w:r>
    </w:p>
    <w:p w:rsidR="00196F69" w:rsidRDefault="00196F69">
      <w:pPr>
        <w:pStyle w:val="ConsPlusTitle"/>
        <w:jc w:val="center"/>
      </w:pPr>
      <w:r>
        <w:t>и развитию культуры российского казачества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Normal"/>
        <w:ind w:firstLine="540"/>
        <w:jc w:val="both"/>
      </w:pPr>
      <w:r>
        <w:t>20. Количество мероприятий и участников мероприятий, проводимых при участии представителей казачества, направленных на сохранение и развитие культуры российского казачества.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21. Количество учреждений, осуществляющих деятельность по хранению предметов истории и культуры российского казачества.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22. Количество центров казачьей культуры.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Title"/>
        <w:jc w:val="center"/>
        <w:outlineLvl w:val="1"/>
      </w:pPr>
      <w:r>
        <w:t>V. Целевые показатели, отражающие поддержку</w:t>
      </w:r>
    </w:p>
    <w:p w:rsidR="00196F69" w:rsidRDefault="00196F69">
      <w:pPr>
        <w:pStyle w:val="ConsPlusTitle"/>
        <w:jc w:val="center"/>
      </w:pPr>
      <w:r>
        <w:t>социально-экономического развития российского казачества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Normal"/>
        <w:ind w:firstLine="540"/>
        <w:jc w:val="both"/>
      </w:pPr>
      <w:r>
        <w:t>23. Количество казачьих обществ и иных объединений казаков, привлеченных к реализации государственных и муниципальных программ и приоритетных национальных проектов.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 xml:space="preserve">24. Количество частных охранных организаций, учрежденных войсковыми казачьими обществами, привлеченных к обеспечению охраны объектов социальной сферы различных форм </w:t>
      </w:r>
      <w:r>
        <w:lastRenderedPageBreak/>
        <w:t>собственности.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25. Площадь земельных участков, находящихся в государственной или муниципальной собственности, переданных в аренду на торгах и без проведения торгов для осуществления сельскохозяйственного производства казачьим обществам.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Title"/>
        <w:jc w:val="center"/>
        <w:outlineLvl w:val="1"/>
      </w:pPr>
      <w:r>
        <w:t>VI. Целевые показатели, отражающие поддержку международного</w:t>
      </w:r>
    </w:p>
    <w:p w:rsidR="00196F69" w:rsidRDefault="00196F69">
      <w:pPr>
        <w:pStyle w:val="ConsPlusTitle"/>
        <w:jc w:val="center"/>
      </w:pPr>
      <w:r>
        <w:t>сотрудничества российского казачества, развитие</w:t>
      </w:r>
    </w:p>
    <w:p w:rsidR="00196F69" w:rsidRDefault="00196F69">
      <w:pPr>
        <w:pStyle w:val="ConsPlusTitle"/>
        <w:jc w:val="center"/>
      </w:pPr>
      <w:r>
        <w:t>международных контактов российского казачества</w:t>
      </w:r>
    </w:p>
    <w:p w:rsidR="00196F69" w:rsidRDefault="00196F69">
      <w:pPr>
        <w:pStyle w:val="ConsPlusTitle"/>
        <w:jc w:val="center"/>
      </w:pPr>
      <w:r>
        <w:t>с казаками - соотечественниками, проживающими за рубежом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Normal"/>
        <w:ind w:firstLine="540"/>
        <w:jc w:val="both"/>
      </w:pPr>
      <w:r>
        <w:t>26. Количество мероприятий в сфере приграничного сотрудничества, а также мероприятий, направленных на развитие межкультурных обменов с сопредельными государствами, в которых задействовано российское казачество.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27. Количество совместных мероприятий казачьих обществ и иных объединений казаков Российской Федерации с объединениями казаков государств - участников Содружества Независимых Государств и других государств.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28. Количество казачьих обществ и иных объединений казаков, привлеченных к участию в реализации программ по поддержке соотечественников, проживающих за рубежом, включая вопросы добровольного переселения соотечественников в Российскую Федерацию.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 xml:space="preserve">29. Количество </w:t>
      </w:r>
      <w:proofErr w:type="gramStart"/>
      <w:r>
        <w:t>единиц</w:t>
      </w:r>
      <w:proofErr w:type="gramEnd"/>
      <w:r>
        <w:t xml:space="preserve"> возвращенных в Российскую Федерацию исторических ценностей и реликвий казачества.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30. Количество организованных международных детских и молодежных казачьих оздоровительных лагерей.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31. Количество представителей казачьей молодежи государств - участников Содружества Независимых Государств, проходящих обучение в образовательных организациях Российской Федерации.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Title"/>
        <w:jc w:val="center"/>
        <w:outlineLvl w:val="1"/>
      </w:pPr>
      <w:r>
        <w:t>VII. Целевые показатели, отражающие совершенствование</w:t>
      </w:r>
    </w:p>
    <w:p w:rsidR="00196F69" w:rsidRDefault="00196F69">
      <w:pPr>
        <w:pStyle w:val="ConsPlusTitle"/>
        <w:jc w:val="center"/>
      </w:pPr>
      <w:r>
        <w:t>информационного обеспечения взаимодействия органов</w:t>
      </w:r>
    </w:p>
    <w:p w:rsidR="00196F69" w:rsidRDefault="00196F69">
      <w:pPr>
        <w:pStyle w:val="ConsPlusTitle"/>
        <w:jc w:val="center"/>
      </w:pPr>
      <w:r>
        <w:t>государственной власти и органов местного самоуправления</w:t>
      </w:r>
    </w:p>
    <w:p w:rsidR="00196F69" w:rsidRDefault="00196F69">
      <w:pPr>
        <w:pStyle w:val="ConsPlusTitle"/>
        <w:jc w:val="center"/>
      </w:pPr>
      <w:r>
        <w:t>с казачьими обществами, расширение информирования</w:t>
      </w:r>
    </w:p>
    <w:p w:rsidR="00196F69" w:rsidRDefault="00196F69">
      <w:pPr>
        <w:pStyle w:val="ConsPlusTitle"/>
        <w:jc w:val="center"/>
      </w:pPr>
      <w:r>
        <w:t>общественности о деятельности российского казачества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Normal"/>
        <w:ind w:firstLine="540"/>
        <w:jc w:val="both"/>
      </w:pPr>
      <w:r>
        <w:t xml:space="preserve">32. Количество информационных проектов, направленных на ознакомление общества с деятельностью российского казачества (экспозиции, выставки, создание электронной библиотеки казачества и другие подобные проекты), а также на развитие </w:t>
      </w:r>
      <w:proofErr w:type="spellStart"/>
      <w:r>
        <w:t>этнотуризма</w:t>
      </w:r>
      <w:proofErr w:type="spellEnd"/>
      <w:r>
        <w:t>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33. Количество социологических и научных исследований в сфере российского казачества.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34. Количество информационных ресурсов, содержащих сведения о казачьих обществах и иных объединениях казаков, а также об их деятельности.</w:t>
      </w:r>
    </w:p>
    <w:p w:rsidR="00196F69" w:rsidRDefault="00196F69">
      <w:pPr>
        <w:pStyle w:val="ConsPlusNormal"/>
        <w:spacing w:before="220"/>
        <w:ind w:firstLine="540"/>
        <w:jc w:val="both"/>
      </w:pPr>
      <w:r>
        <w:t>35. Количество информационных сообщений о деятельности казачьих обществ и иных объединений казаков в информационно-телекоммуникационной сети "Интернет".</w:t>
      </w: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Normal"/>
        <w:jc w:val="both"/>
      </w:pPr>
    </w:p>
    <w:p w:rsidR="00196F69" w:rsidRDefault="00196F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0F7A" w:rsidRDefault="00140F7A">
      <w:bookmarkStart w:id="1" w:name="_GoBack"/>
      <w:bookmarkEnd w:id="1"/>
    </w:p>
    <w:sectPr w:rsidR="00140F7A" w:rsidSect="00B4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69"/>
    <w:rsid w:val="00140F7A"/>
    <w:rsid w:val="0019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13728-A732-40CA-B12E-E38C0725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F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6F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6F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99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9557&amp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5891&amp;dst=100010" TargetMode="External"/><Relationship Id="rId5" Type="http://schemas.openxmlformats.org/officeDocument/2006/relationships/hyperlink" Target="https://login.consultant.ru/link/?req=doc&amp;base=LAW&amp;n=429557&amp;dst=10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local_epk</cp:lastModifiedBy>
  <cp:revision>1</cp:revision>
  <dcterms:created xsi:type="dcterms:W3CDTF">2024-12-23T10:00:00Z</dcterms:created>
  <dcterms:modified xsi:type="dcterms:W3CDTF">2024-12-23T10:00:00Z</dcterms:modified>
</cp:coreProperties>
</file>