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A4" w:rsidRDefault="00AB2F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2FA4" w:rsidRDefault="00AB2FA4">
      <w:pPr>
        <w:pStyle w:val="ConsPlusNormal"/>
        <w:jc w:val="both"/>
        <w:outlineLvl w:val="0"/>
      </w:pPr>
    </w:p>
    <w:p w:rsidR="00AB2FA4" w:rsidRDefault="00AB2FA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B2FA4" w:rsidRDefault="00AB2FA4">
      <w:pPr>
        <w:pStyle w:val="ConsPlusTitle"/>
        <w:jc w:val="both"/>
      </w:pPr>
    </w:p>
    <w:p w:rsidR="00AB2FA4" w:rsidRDefault="00AB2FA4">
      <w:pPr>
        <w:pStyle w:val="ConsPlusTitle"/>
        <w:jc w:val="center"/>
      </w:pPr>
      <w:r>
        <w:t>ПОСТАНОВЛЕНИЕ</w:t>
      </w:r>
    </w:p>
    <w:p w:rsidR="00AB2FA4" w:rsidRDefault="00AB2FA4">
      <w:pPr>
        <w:pStyle w:val="ConsPlusTitle"/>
        <w:jc w:val="center"/>
      </w:pPr>
      <w:r>
        <w:t>от 28 октября 2017 г. N 1312</w:t>
      </w:r>
    </w:p>
    <w:p w:rsidR="00AB2FA4" w:rsidRDefault="00AB2FA4">
      <w:pPr>
        <w:pStyle w:val="ConsPlusTitle"/>
        <w:jc w:val="both"/>
      </w:pPr>
    </w:p>
    <w:p w:rsidR="00AB2FA4" w:rsidRDefault="00AB2FA4">
      <w:pPr>
        <w:pStyle w:val="ConsPlusTitle"/>
        <w:jc w:val="center"/>
      </w:pPr>
      <w:r>
        <w:t>О ГОСУДАРСТВЕННОЙ ИНФОРМАЦИОННОЙ СИСТЕМЕ</w:t>
      </w:r>
    </w:p>
    <w:p w:rsidR="00AB2FA4" w:rsidRDefault="00AB2FA4">
      <w:pPr>
        <w:pStyle w:val="ConsPlusTitle"/>
        <w:jc w:val="center"/>
      </w:pPr>
      <w:r>
        <w:t>МОНИТОРИНГА В СФЕРЕ МЕЖНАЦИОНАЛЬНЫХ И МЕЖКОНФЕССИОНАЛЬНЫХ</w:t>
      </w:r>
    </w:p>
    <w:p w:rsidR="00AB2FA4" w:rsidRDefault="00AB2FA4">
      <w:pPr>
        <w:pStyle w:val="ConsPlusTitle"/>
        <w:jc w:val="center"/>
      </w:pPr>
      <w:r>
        <w:t>ОТНОШЕНИЙ И РАННЕГО ПРЕДУПРЕЖДЕНИЯ КОНФЛИКТНЫХ СИТУАЦИЙ</w:t>
      </w:r>
    </w:p>
    <w:p w:rsidR="00AB2FA4" w:rsidRDefault="00AB2F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2F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FA4" w:rsidRDefault="00AB2F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FA4" w:rsidRDefault="00AB2F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FA4" w:rsidRDefault="00AB2F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FA4" w:rsidRDefault="00AB2F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29.11.2018 </w:t>
            </w:r>
            <w:hyperlink r:id="rId5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>,</w:t>
            </w:r>
          </w:p>
          <w:p w:rsidR="00AB2FA4" w:rsidRDefault="00AB2F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19.08.2020 </w:t>
            </w:r>
            <w:hyperlink r:id="rId6">
              <w:r>
                <w:rPr>
                  <w:color w:val="0000FF"/>
                </w:rPr>
                <w:t>N 1257</w:t>
              </w:r>
            </w:hyperlink>
            <w:r>
              <w:rPr>
                <w:color w:val="392C69"/>
              </w:rPr>
              <w:t xml:space="preserve">, от 17.02.2022 </w:t>
            </w:r>
            <w:hyperlink r:id="rId7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FA4" w:rsidRDefault="00AB2FA4">
            <w:pPr>
              <w:pStyle w:val="ConsPlusNormal"/>
            </w:pPr>
          </w:p>
        </w:tc>
      </w:tr>
    </w:tbl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2. Определить Федеральное агентство по делам национальностей оператором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(далее - система мониторинга).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3.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4. Рекомендовать органам исполнительной власти субъектов Российской Федерации, органам местного самоуправления осуществлять реализацию полномочий, предусмотренных настоящим постановлением, в пределах установленной предельной численности работников этих органов и бюджетных ассигнований, предусмотренных указанным органам в бюджетах субъектов Российской Федерации, местных бюджетах на руководство и управление в сфере установленных функций.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5. Рекомендовать органам исполнительной власти субъектов Российской Федерации руководствоваться </w:t>
      </w:r>
      <w:hyperlink w:anchor="P33">
        <w:r>
          <w:rPr>
            <w:color w:val="0000FF"/>
          </w:rPr>
          <w:t>Положением</w:t>
        </w:r>
      </w:hyperlink>
      <w:r>
        <w:t>, утвержденным настоящим постановлением, при утверждении нормативных правовых актов, определяющих порядок формирования и ведения сегментов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субъектах Российской Федерации.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jc w:val="right"/>
      </w:pPr>
      <w:r>
        <w:t>Председатель Правительства</w:t>
      </w:r>
    </w:p>
    <w:p w:rsidR="00AB2FA4" w:rsidRDefault="00AB2FA4">
      <w:pPr>
        <w:pStyle w:val="ConsPlusNormal"/>
        <w:jc w:val="right"/>
      </w:pPr>
      <w:r>
        <w:t>Российской Федерации</w:t>
      </w:r>
    </w:p>
    <w:p w:rsidR="00AB2FA4" w:rsidRDefault="00AB2FA4">
      <w:pPr>
        <w:pStyle w:val="ConsPlusNormal"/>
        <w:jc w:val="right"/>
      </w:pPr>
      <w:r>
        <w:t>Д.МЕДВЕДЕВ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jc w:val="right"/>
        <w:outlineLvl w:val="0"/>
      </w:pPr>
      <w:r>
        <w:lastRenderedPageBreak/>
        <w:t>Утверждено</w:t>
      </w:r>
    </w:p>
    <w:p w:rsidR="00AB2FA4" w:rsidRDefault="00AB2FA4">
      <w:pPr>
        <w:pStyle w:val="ConsPlusNormal"/>
        <w:jc w:val="right"/>
      </w:pPr>
      <w:r>
        <w:t>постановлением Правительства</w:t>
      </w:r>
    </w:p>
    <w:p w:rsidR="00AB2FA4" w:rsidRDefault="00AB2FA4">
      <w:pPr>
        <w:pStyle w:val="ConsPlusNormal"/>
        <w:jc w:val="right"/>
      </w:pPr>
      <w:r>
        <w:t>Российской Федерации</w:t>
      </w:r>
    </w:p>
    <w:p w:rsidR="00AB2FA4" w:rsidRDefault="00AB2FA4">
      <w:pPr>
        <w:pStyle w:val="ConsPlusNormal"/>
        <w:jc w:val="right"/>
      </w:pPr>
      <w:r>
        <w:t>от 28 октября 2017 г. N 1312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Title"/>
        <w:jc w:val="center"/>
      </w:pPr>
      <w:bookmarkStart w:id="0" w:name="P33"/>
      <w:bookmarkEnd w:id="0"/>
      <w:r>
        <w:t>ПОЛОЖЕНИЕ</w:t>
      </w:r>
    </w:p>
    <w:p w:rsidR="00AB2FA4" w:rsidRDefault="00AB2FA4">
      <w:pPr>
        <w:pStyle w:val="ConsPlusTitle"/>
        <w:jc w:val="center"/>
      </w:pPr>
      <w:r>
        <w:t>О ГОСУДАРСТВЕННОЙ ИНФОРМАЦИОННОЙ СИСТЕМЕ МОНИТОРИНГА</w:t>
      </w:r>
    </w:p>
    <w:p w:rsidR="00AB2FA4" w:rsidRDefault="00AB2FA4">
      <w:pPr>
        <w:pStyle w:val="ConsPlusTitle"/>
        <w:jc w:val="center"/>
      </w:pPr>
      <w:r>
        <w:t>В СФЕРЕ МЕЖНАЦИОНАЛЬНЫХ И МЕЖКОНФЕССИОНАЛЬНЫХ ОТНОШЕНИЙ</w:t>
      </w:r>
    </w:p>
    <w:p w:rsidR="00AB2FA4" w:rsidRDefault="00AB2FA4">
      <w:pPr>
        <w:pStyle w:val="ConsPlusTitle"/>
        <w:jc w:val="center"/>
      </w:pPr>
      <w:r>
        <w:t>И РАННЕГО ПРЕДУПРЕЖДЕНИЯ КОНФЛИКТНЫХ СИТУАЦИЙ</w:t>
      </w:r>
    </w:p>
    <w:p w:rsidR="00AB2FA4" w:rsidRDefault="00AB2F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2F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FA4" w:rsidRDefault="00AB2F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FA4" w:rsidRDefault="00AB2F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FA4" w:rsidRDefault="00AB2F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FA4" w:rsidRDefault="00AB2F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29.11.2018 </w:t>
            </w:r>
            <w:hyperlink r:id="rId8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>,</w:t>
            </w:r>
          </w:p>
          <w:p w:rsidR="00AB2FA4" w:rsidRDefault="00AB2F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19.08.2020 </w:t>
            </w:r>
            <w:hyperlink r:id="rId9">
              <w:r>
                <w:rPr>
                  <w:color w:val="0000FF"/>
                </w:rPr>
                <w:t>N 1257</w:t>
              </w:r>
            </w:hyperlink>
            <w:r>
              <w:rPr>
                <w:color w:val="392C69"/>
              </w:rPr>
              <w:t xml:space="preserve">, от 17.02.2022 </w:t>
            </w:r>
            <w:hyperlink r:id="rId10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FA4" w:rsidRDefault="00AB2FA4">
            <w:pPr>
              <w:pStyle w:val="ConsPlusNormal"/>
            </w:pPr>
          </w:p>
        </w:tc>
      </w:tr>
    </w:tbl>
    <w:p w:rsidR="00AB2FA4" w:rsidRDefault="00AB2FA4">
      <w:pPr>
        <w:pStyle w:val="ConsPlusNormal"/>
        <w:jc w:val="both"/>
      </w:pPr>
    </w:p>
    <w:p w:rsidR="00AB2FA4" w:rsidRDefault="00AB2FA4">
      <w:pPr>
        <w:pStyle w:val="ConsPlusTitle"/>
        <w:jc w:val="center"/>
        <w:outlineLvl w:val="1"/>
      </w:pPr>
      <w:r>
        <w:t>I. Общие положения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ind w:firstLine="540"/>
        <w:jc w:val="both"/>
      </w:pPr>
      <w:r>
        <w:t>1. Настоящее Положение определяет назначение, цель, задачи и принципы создания и развития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(далее - система мониторинга), ее структуру, порядок обеспечения доступа к системе мониторинга, правовой режим информации и программно-технических средств системы мониторинга, требования к ее технологическим, программным и лингвистическим средствам, правила информационного взаимодействия с иными информационными системами, а также порядок защиты информации, содержащейся в системе мониторинга.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2. Система мониторинга обеспечивает формирование единого информационного пространства для поддержки принятия управленческих решений в сфере реализации государственной национальной политики.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Пользователями системы мониторинга являются Федеральное агентство по делам национальностей, федеральные органы исполнительной власти и органы исполнительной власти субъектов Российской Федерации, их подведомственные организации, государственные внебюджетные фонды и органы местного самоуправления, участвующие в выполнении задач в сфере государственной национальной политики, предусмотренных </w:t>
      </w:r>
      <w:hyperlink r:id="rId11">
        <w:r>
          <w:rPr>
            <w:color w:val="0000FF"/>
          </w:rPr>
          <w:t>Стратегией</w:t>
        </w:r>
      </w:hyperlink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 "О Стратегии государственной национальной политики Российской Федерации на период до 2025 года" (далее - Стратегия).</w:t>
      </w:r>
    </w:p>
    <w:p w:rsidR="00AB2FA4" w:rsidRDefault="00AB2FA4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17.02.2022 N 204)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3. Оператором системы мониторинга является Федеральное агентство по делам национальностей.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4. Федеральное агентство по делам национальностей как оператор системы мониторинга выполняет следующие функции: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а) определяет направления развития системы мониторинга;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б) разрабатывает и утверждает в пределах своих полномочий нормативные правовые акты и иные документы, необходимые для функционирования системы мониторинга;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в) осуществляет ведение системы мониторинга;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г) обеспечивает защиту информации, содержащейся в системе мониторинга, в соответствии с требованиями законодательства Российской Федерации;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lastRenderedPageBreak/>
        <w:t>д) организует доступ к системе мониторинга;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е) осуществляет методическое обеспечение использования системы мониторинга.</w:t>
      </w:r>
    </w:p>
    <w:p w:rsidR="00AB2FA4" w:rsidRDefault="00AB2FA4">
      <w:pPr>
        <w:pStyle w:val="ConsPlusNormal"/>
        <w:jc w:val="both"/>
      </w:pPr>
      <w:r>
        <w:t xml:space="preserve">(п. 4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17.02.2022 N 204)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17.02.2022 N 204.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Title"/>
        <w:jc w:val="center"/>
        <w:outlineLvl w:val="1"/>
      </w:pPr>
      <w:r>
        <w:t>II. Цель, основные задачи и принципы системы мониторинга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ind w:firstLine="540"/>
        <w:jc w:val="both"/>
      </w:pPr>
      <w:r>
        <w:t xml:space="preserve">6. Целью создания и функционирования системы мониторинга является реализация </w:t>
      </w:r>
      <w:hyperlink r:id="rId15">
        <w:r>
          <w:rPr>
            <w:color w:val="0000FF"/>
          </w:rPr>
          <w:t>Стратегии</w:t>
        </w:r>
      </w:hyperlink>
      <w:r>
        <w:t xml:space="preserve"> в части: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а) обеспечения условий для решения задач, направленных на своевременное выявление конфликтных и предконфликтных ситуаций в сфере межнациональных и межконфессиональных отношений;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б) обеспечения возможности оперативного реагирования на возникновение конфликтных и предконфликтных ситуаций в сфере межнациональных и межконфессиональных отношений в субъектах Российской Федерации и в муниципальных образованиях;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в) принятия эффективных управленческих решений в сфере реализации государственной национальной политики;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г) учета лиц, относящихся к коренным малочисленным народам Российской Федерации, для обеспечения реализации социальных и экономических прав указанных лиц.</w:t>
      </w:r>
    </w:p>
    <w:p w:rsidR="00AB2FA4" w:rsidRDefault="00AB2FA4">
      <w:pPr>
        <w:pStyle w:val="ConsPlusNormal"/>
        <w:jc w:val="both"/>
      </w:pPr>
      <w:r>
        <w:t xml:space="preserve">(пп. "г"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19.08.2020 N 1257)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7. Основными задачами системы мониторинга являются: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а) проведение мониторинга в информационно-телекоммуникационной сети "Интернет" (средства массовой информации, блоги и социальные сети, экспертные оценки, данные социологических опросов и прочие открытые (публичные) источники) конфликтных межнациональных и межконфессиональных ситуаций;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б) сбор, автоматическая и автоматизированная обработка данных о событиях, связанных с межнациональными и межконфессиональными отношениями (деятельность органов государственной власти, органов местного самоуправления), включая автоматическое (без участия оператора) выделение информационных поводов, отслеживание роста аудитории выделенных информационных поводов и передача их в отработку на муниципальный уровень на основании превышения критериев роста аудитории;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РФ от 17.02.2022 N 204;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г) выявление конфликтных и предконфликтных ситуаций, в конфликтующих группах которых усматривается разделение по этническому и (или) конфессиональному признаку, а также в случаях, когда стороны конфликта ищут поддержки в этнически (конфессионально) родственной или этнически (конфессионально) дружественной среде;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д) оповещение об угрозе возникновения межнационального или межконфессионального конфликта;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е) - з) утратили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17.02.2022 N 204;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и) осуществление регулярного сбора оперативной информации о состоянии и динамике социально-экономических и общественно-политических процессов в субъектах Российской Федерации, тенденциях развития межнациональных и межконфессиональных отношений в целях </w:t>
      </w:r>
      <w:r>
        <w:lastRenderedPageBreak/>
        <w:t>разработки соответствующих материалов, прогнозов и предложений;</w:t>
      </w:r>
    </w:p>
    <w:p w:rsidR="00AB2FA4" w:rsidRDefault="00AB2FA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17.02.2022 N 204)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к) - л) утратили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17.02.2022 N 204;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м) мониторинг и аналитическая обработка различных источников информации по вопросам реализации государственной национальной политики;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н) формирование списка лиц, относящихся к коренным малочисленным народам Российской Федерации, а также его ведение в установленном порядке.</w:t>
      </w:r>
    </w:p>
    <w:p w:rsidR="00AB2FA4" w:rsidRDefault="00AB2FA4">
      <w:pPr>
        <w:pStyle w:val="ConsPlusNormal"/>
        <w:jc w:val="both"/>
      </w:pPr>
      <w:r>
        <w:t xml:space="preserve">(пп. "н"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19.08.2020 N 1257)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8. Создание, функционирование и развитие системы мониторинга осуществляются на основании следующих принципов: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а) применение единой технической политики создания и функционирования системы мониторинга;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б) приоритетное использование информационно-телекоммуникационных технологий при сборе, обработке, хранении и обмене информацией;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в) однократный ввод сведений, размещаемых в сегментах системы мониторинга, и их многократное использование;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г) обеспечение оперативного доступа пользователей системы мониторинга к информационным ресурсам;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д) обеспечение полноты, достоверности, актуальности и целостности информации, размещаемой в системе мониторинга, в том числе за счет применения электронной подписи;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е) размещение сведений в системе мониторинга только уполномоченными должностными лицами;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ж) персональная ответственность уполномоченных должностных лиц за полноту, актуальность и достоверность сведений, размещаемых ими в системе мониторинга;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з) использование преимущественно свободного программного обеспечения при создании, модернизации, функционировании и развитии системы мониторинга.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Title"/>
        <w:jc w:val="center"/>
        <w:outlineLvl w:val="1"/>
      </w:pPr>
      <w:r>
        <w:t>III. Сегменты системы мониторинга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ind w:firstLine="540"/>
        <w:jc w:val="both"/>
      </w:pPr>
      <w:r>
        <w:t>9. Система мониторинга состоит из федерального сегмента и сегментов системы мониторинга субъектов Российской Федерации.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Федеральный сегмент системы мониторинга представляет собой единую информационно-технологическую инфраструктуру системы мониторинга.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17.02.2022 N 204.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Сегменты системы мониторинга субъектов Российской Федерации (далее - региональные сегменты) формируются самостоятельно субъектом Российской Федерации путем проведения настроек системы мониторинга под специфику органов исполнительной власти субъекта Российской Федерации и подключения автоматизированных рабочих мест к системе мониторинга.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10. Федеральный сегмент системы мониторинга обеспечивает: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а) функцию автоматизации механизмов сбора, хранения, обработки, распространения и </w:t>
      </w:r>
      <w:r>
        <w:lastRenderedPageBreak/>
        <w:t>анализа информации в системе мониторинга на всей территории Российской Федерации;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б) функцию информационного взаимодействия между федеральными органами исполнительной власти;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в) функцию информационного взаимодействия между Федеральным агентством по делам национальностей и органами исполнительной власти субъектов Российской Федерации, осуществляющими полномочия в сфере реализации государственной национальной политики, в части оповещения органов исполнительной власти субъектов Российской Федерации о возникновении конфликтной или предконфликтной ситуации;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г) функцию хранения и обработки информации, доступ к которой ограничен федеральными законами.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11. Региональные сегменты системы мониторинга обеспечивают: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а) функцию автоматизации механизмов сбора, хранения, обработки, распространения и анализа информации в системе мониторинга в пределах соответствующего субъекта Российской Федерации;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б) функцию информационного взаимодействия между органами исполнительной власти субъектов Российской Федерации при выполнении задач в сфере государственной национальной политики, предусмотренных </w:t>
      </w:r>
      <w:hyperlink r:id="rId23">
        <w:r>
          <w:rPr>
            <w:color w:val="0000FF"/>
          </w:rPr>
          <w:t>Стратегией</w:t>
        </w:r>
      </w:hyperlink>
      <w:r>
        <w:t>, органами исполнительной власти субъектов Российской Федерации, осуществляющими полномочия в сфере реализации государственной национальной политики, и органами местного самоуправления.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17.02.2022 N 204.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Title"/>
        <w:jc w:val="center"/>
        <w:outlineLvl w:val="1"/>
      </w:pPr>
      <w:r>
        <w:t>IV. Межведомственное взаимодействие в рамках</w:t>
      </w:r>
    </w:p>
    <w:p w:rsidR="00AB2FA4" w:rsidRDefault="00AB2FA4">
      <w:pPr>
        <w:pStyle w:val="ConsPlusTitle"/>
        <w:jc w:val="center"/>
      </w:pPr>
      <w:r>
        <w:t>системы мониторинга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ind w:firstLine="540"/>
        <w:jc w:val="both"/>
      </w:pPr>
      <w:r>
        <w:t>13. Обмен информацией между пользователями системы мониторинга осуществляется в электронной форме по защищенным каналам связи.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14. Взаимодействие системы мониторинга с иными информационными системами осуществляется с учетом требований законодательства Российской Федерации к информационным системам, содержащим сведения, доступ к которым ограничен законодательством Российской Федерации.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Информационное взаимодействие в рамках системы мониторинга осуществляется в том числе с использованием единой системы межведомственного электронного взаимодействия.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15. Информационный обмен в рамках системы мониторинга осуществляется на основании межведомственных соглашений об информационном обмене (далее - соглашение).</w:t>
      </w:r>
    </w:p>
    <w:p w:rsidR="00AB2FA4" w:rsidRDefault="00AB2FA4">
      <w:pPr>
        <w:pStyle w:val="ConsPlusNormal"/>
        <w:jc w:val="both"/>
      </w:pPr>
      <w:r>
        <w:t xml:space="preserve">(п. 15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17.02.2022 N 204)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16. Технические и организационные требования к информационному обмену указываются в протоколе об информационном обмене, который является приложением к соглашению.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17 - 18. Утратили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РФ от 17.02.2022 N 204.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19. Обработка информации в рамках системы мониторинга и ее защита осуществляются с учетом положений законодательства Российской Федерации об информации, информационных технологиях, о защите информации и персональных данных.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Title"/>
        <w:jc w:val="center"/>
        <w:outlineLvl w:val="1"/>
      </w:pPr>
      <w:r>
        <w:t>V. Порядок обеспечения доступа к системе мониторинга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ind w:firstLine="540"/>
        <w:jc w:val="both"/>
      </w:pPr>
      <w:r>
        <w:t>20. Доступ к системе мониторинга предоставляется должностным лицам пользователей системы мониторинга (далее - должностные лица).</w:t>
      </w:r>
    </w:p>
    <w:p w:rsidR="00AB2FA4" w:rsidRDefault="00AB2FA4">
      <w:pPr>
        <w:pStyle w:val="ConsPlusNormal"/>
        <w:jc w:val="both"/>
      </w:pPr>
      <w:r>
        <w:t xml:space="preserve">(п. 20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17.02.2022 N 204)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21. Доступ к системе мониторинга предоставляется на основании заявок, направляемых в Федеральное агентство по делам национальностей: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а) федеральными органами исполнительной власти, - в отношении их должностных лиц и должностных лиц подведомственных им организаций;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б) государственными внебюджетными фондами, - в отношении их должностных лиц;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в) органами исполнительной власти субъектов Российской Федерации, - в отношении их должностных лиц и должностных лиц подведомственных им организаций;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г) органами местного самоуправления, - в отношении их должностных лиц и должностных лиц подведомственных им организаций.</w:t>
      </w:r>
    </w:p>
    <w:p w:rsidR="00AB2FA4" w:rsidRDefault="00AB2FA4">
      <w:pPr>
        <w:pStyle w:val="ConsPlusNormal"/>
        <w:jc w:val="both"/>
      </w:pPr>
      <w:r>
        <w:t xml:space="preserve">(п. 21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17.02.2022 N 204)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22. В заявке, которая подписывается руководителем (его заместителем) пользователя системы мониторинга, направляющего заявку, указываются следующие данные должностного лица: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а) фамилия, имя, отчество (при наличии);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б) страховой номер индивидуального лицевого счета;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в) адрес электронной почты;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г) номер контактного телефона;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д) должность.</w:t>
      </w:r>
    </w:p>
    <w:p w:rsidR="00AB2FA4" w:rsidRDefault="00AB2FA4">
      <w:pPr>
        <w:pStyle w:val="ConsPlusNormal"/>
        <w:jc w:val="both"/>
      </w:pPr>
      <w:r>
        <w:t xml:space="preserve">(п. 22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17.02.2022 N 204)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23. Идентификация и аутентификация должностных лиц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B2FA4" w:rsidRDefault="00AB2FA4">
      <w:pPr>
        <w:pStyle w:val="ConsPlusNormal"/>
        <w:jc w:val="both"/>
      </w:pPr>
      <w:r>
        <w:t xml:space="preserve">(п. 23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17.02.2022 N 204)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24. Доступ к системе мониторинга предоставляется в течение 5 рабочих дней со дня получения заявки.</w:t>
      </w:r>
    </w:p>
    <w:p w:rsidR="00AB2FA4" w:rsidRDefault="00AB2FA4">
      <w:pPr>
        <w:pStyle w:val="ConsPlusNormal"/>
        <w:jc w:val="both"/>
      </w:pPr>
      <w:r>
        <w:t xml:space="preserve">(п. 24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17.02.2022 N 204)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25. Пользователи системы мониторинга уведомляют Федеральное агентство по делам национальностей об увольнении (прекращении полномочий) должностного лица, которому предоставлен доступ к системе мониторинга, не позднее даты увольнения (прекращения полномочий) такого должностного лица.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Доступ указанных должностных лиц к системе мониторинга прекращается не позднее одного рабочего дня со дня получения Федеральным агентством по делам национальностей информации об увольнении (прекращении полномочий) должностного лица пользователя системы мониторинга.</w:t>
      </w:r>
    </w:p>
    <w:p w:rsidR="00AB2FA4" w:rsidRDefault="00AB2FA4">
      <w:pPr>
        <w:pStyle w:val="ConsPlusNormal"/>
        <w:jc w:val="both"/>
      </w:pPr>
      <w:r>
        <w:t xml:space="preserve">(п. 25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17.02.2022 N 204)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Title"/>
        <w:jc w:val="center"/>
        <w:outlineLvl w:val="1"/>
      </w:pPr>
      <w:r>
        <w:t>VI. Правовой режим информации, содержащейся</w:t>
      </w:r>
    </w:p>
    <w:p w:rsidR="00AB2FA4" w:rsidRDefault="00AB2FA4">
      <w:pPr>
        <w:pStyle w:val="ConsPlusTitle"/>
        <w:jc w:val="center"/>
      </w:pPr>
      <w:r>
        <w:t>в системе мониторинга, и программно-технических средств</w:t>
      </w:r>
    </w:p>
    <w:p w:rsidR="00AB2FA4" w:rsidRDefault="00AB2FA4">
      <w:pPr>
        <w:pStyle w:val="ConsPlusTitle"/>
        <w:jc w:val="center"/>
      </w:pPr>
      <w:r>
        <w:t>системы мониторинга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ind w:firstLine="540"/>
        <w:jc w:val="both"/>
      </w:pPr>
      <w:r>
        <w:t xml:space="preserve">26.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РФ от 17.02.2022 N 204.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27. Правомочия обладателя информации, содержащейся в системе мониторинга, осуществляет Федеральное агентство по делам национальностей.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28. Федеральное агентство по делам национальностей обладает исключительными правами на используемые в системе мониторинга программное обеспечение и его компоненты.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29. Имущество, входящее в состав программно-технических средств системы координации, созданное или приобретенное за счет средств федерального бюджета, является федеральной собственностью.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Исключительные права на результаты работ и оказание услуг по настройке регионального сегмента системы мониторинга, включая программное обеспечение и его компоненты (программные библиотеки, компиляторы, сервера приложений, системы управления базами данных и иные объекты интеллектуальной собственности), принадлежат соответствующему субъекту Российской Федерации.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Title"/>
        <w:jc w:val="center"/>
        <w:outlineLvl w:val="1"/>
      </w:pPr>
      <w:r>
        <w:t>VII. Хранение информации, содержащейся</w:t>
      </w:r>
    </w:p>
    <w:p w:rsidR="00AB2FA4" w:rsidRDefault="00AB2FA4">
      <w:pPr>
        <w:pStyle w:val="ConsPlusTitle"/>
        <w:jc w:val="center"/>
      </w:pPr>
      <w:r>
        <w:t>в системе мониторинга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ind w:firstLine="540"/>
        <w:jc w:val="both"/>
      </w:pPr>
      <w:bookmarkStart w:id="1" w:name="P155"/>
      <w:bookmarkEnd w:id="1"/>
      <w:r>
        <w:t>30. Информация, содержащаяся в системе мониторинга и ее сегментах, хранится на электронных носителях. Срок хранения такой информации составляет 75 лет.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31. После истечения срока хранения, установленного </w:t>
      </w:r>
      <w:hyperlink w:anchor="P155">
        <w:r>
          <w:rPr>
            <w:color w:val="0000FF"/>
          </w:rPr>
          <w:t>пунктом 30</w:t>
        </w:r>
      </w:hyperlink>
      <w:r>
        <w:t xml:space="preserve"> настоящего Положения, информация, содержащаяся в системе мониторинга, подлежит уничтожению в установленном законодательством Российской Федерации порядке на основании акта об уничтожении.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32. Технологии и программные, лингвистические, правовые и организационные средства ведения системы мониторинга должны обеспечивать: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а) обмен документированными сведениями, содержащимися в системе мониторинга и ее сегментах;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б) поиск информации по различным реквизитам, хранение, обеспечение резервного копирования и защиту сведений, содержащихся в системе мониторинга и ее сегментах;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в) актуализацию сведений, содержащихся в системе мониторинга и ее сегментах, посредством регистрации и учета новых документов, а также перевода в архивный режим хранения документов, которые в установленном порядке признаны недействующими;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17.02.2022 N 204.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Title"/>
        <w:jc w:val="center"/>
        <w:outlineLvl w:val="1"/>
      </w:pPr>
      <w:r>
        <w:t>VIII. Требования к техническим и программным средствам</w:t>
      </w:r>
    </w:p>
    <w:p w:rsidR="00AB2FA4" w:rsidRDefault="00AB2FA4">
      <w:pPr>
        <w:pStyle w:val="ConsPlusTitle"/>
        <w:jc w:val="center"/>
      </w:pPr>
      <w:r>
        <w:t>системы мониторинга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ind w:firstLine="540"/>
        <w:jc w:val="both"/>
      </w:pPr>
      <w:r>
        <w:t>33. Технические и программные средства системы мониторинга должны отвечать следующим требованиям: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а) располагаются на территории Российской Федерации;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lastRenderedPageBreak/>
        <w:t>б) обеспечивают размещение информации на государственном языке Российской Федерации;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в) имеют действующие сертификаты на средства криптографической защиты информации, выданные Федеральной службой безопасности Российской Федерации, и сертификаты на средства защиты информации (некриптографическими методами), выданные Федеральной службой по техническому и экспортному контролю;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г) обеспечивают автоматизированное ведение электронных журналов учета операций, осуществляемых в системе мониторинга, с фиксацией размещения, изменения и удаления информации, точного времени совершения таких операций, содержания изменений и информации о пользователях системы мониторинга, осуществивших указанные действия;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д) обеспечивают доступ пользователей к системе мониторинга, бесперебойное ведение баз данных и защиту содержащейся в системе мониторинга информации от несанкционированного доступа;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е) обеспечивают прохождение участниками системы мониторинга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ж) обеспечивают возможность получения информации из системы мониторинга в виде файлов, электронных сообщений или на бумажных носителях;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з) обеспечивают сохранность всех версий создаваемых документов и истории их изменений.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34. В системе мониторинга обеспечивается единство справочной информации, включая словари, справочники, реестры и классификаторы.</w:t>
      </w:r>
    </w:p>
    <w:p w:rsidR="00AB2FA4" w:rsidRDefault="00AB2FA4">
      <w:pPr>
        <w:pStyle w:val="ConsPlusNormal"/>
        <w:spacing w:before="220"/>
        <w:ind w:firstLine="540"/>
        <w:jc w:val="both"/>
      </w:pPr>
      <w:r>
        <w:t>Перечень словарей, справочников, реестров и классификаторов, используемых в системе мониторинга, устанавливается Федеральным агентством по делам национальностей.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Title"/>
        <w:jc w:val="center"/>
        <w:outlineLvl w:val="1"/>
      </w:pPr>
      <w:r>
        <w:t>IX. Требования к порядку защиты информации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ind w:firstLine="540"/>
        <w:jc w:val="both"/>
      </w:pPr>
      <w:r>
        <w:t xml:space="preserve">35. Порядок защиты информации, предусматривающий в частности виды работ по защите информации и порядок их выполнения, должен соответствовать </w:t>
      </w:r>
      <w:hyperlink r:id="rId35">
        <w:r>
          <w:rPr>
            <w:color w:val="0000FF"/>
          </w:rPr>
          <w:t>части 5 статьи 16</w:t>
        </w:r>
      </w:hyperlink>
      <w:r>
        <w:t xml:space="preserve"> Федерального закона "Об информации, информационных технологиях и о защите информации" и нормативным правовым актам Федеральной службы по техническому и экспортному контролю, определяющим требования к защите информации, не составляющей государственную тайну, содержащейся в государственных информационных системах.</w:t>
      </w: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jc w:val="both"/>
      </w:pPr>
    </w:p>
    <w:p w:rsidR="00AB2FA4" w:rsidRDefault="00AB2F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4C" w:rsidRDefault="0062654C">
      <w:bookmarkStart w:id="2" w:name="_GoBack"/>
      <w:bookmarkEnd w:id="2"/>
    </w:p>
    <w:sectPr w:rsidR="0062654C" w:rsidSect="002D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A4"/>
    <w:rsid w:val="0062654C"/>
    <w:rsid w:val="00A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60922-1B0A-4D4C-8861-6D798FA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F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2F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2F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9955&amp;dst=100012" TargetMode="External"/><Relationship Id="rId18" Type="http://schemas.openxmlformats.org/officeDocument/2006/relationships/hyperlink" Target="https://login.consultant.ru/link/?req=doc&amp;base=LAW&amp;n=409955&amp;dst=100022" TargetMode="External"/><Relationship Id="rId26" Type="http://schemas.openxmlformats.org/officeDocument/2006/relationships/hyperlink" Target="https://login.consultant.ru/link/?req=doc&amp;base=LAW&amp;n=409955&amp;dst=100027" TargetMode="External"/><Relationship Id="rId21" Type="http://schemas.openxmlformats.org/officeDocument/2006/relationships/hyperlink" Target="https://login.consultant.ru/link/?req=doc&amp;base=LAW&amp;n=360403&amp;dst=100011" TargetMode="External"/><Relationship Id="rId34" Type="http://schemas.openxmlformats.org/officeDocument/2006/relationships/hyperlink" Target="https://login.consultant.ru/link/?req=doc&amp;base=LAW&amp;n=409955&amp;dst=100045" TargetMode="External"/><Relationship Id="rId7" Type="http://schemas.openxmlformats.org/officeDocument/2006/relationships/hyperlink" Target="https://login.consultant.ru/link/?req=doc&amp;base=LAW&amp;n=409955&amp;dst=100005" TargetMode="External"/><Relationship Id="rId12" Type="http://schemas.openxmlformats.org/officeDocument/2006/relationships/hyperlink" Target="https://login.consultant.ru/link/?req=doc&amp;base=LAW&amp;n=409955&amp;dst=100009" TargetMode="External"/><Relationship Id="rId17" Type="http://schemas.openxmlformats.org/officeDocument/2006/relationships/hyperlink" Target="https://login.consultant.ru/link/?req=doc&amp;base=LAW&amp;n=409955&amp;dst=100022" TargetMode="External"/><Relationship Id="rId25" Type="http://schemas.openxmlformats.org/officeDocument/2006/relationships/hyperlink" Target="https://login.consultant.ru/link/?req=doc&amp;base=LAW&amp;n=409955&amp;dst=100025" TargetMode="External"/><Relationship Id="rId33" Type="http://schemas.openxmlformats.org/officeDocument/2006/relationships/hyperlink" Target="https://login.consultant.ru/link/?req=doc&amp;base=LAW&amp;n=409955&amp;dst=1000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0403&amp;dst=100009" TargetMode="External"/><Relationship Id="rId20" Type="http://schemas.openxmlformats.org/officeDocument/2006/relationships/hyperlink" Target="https://login.consultant.ru/link/?req=doc&amp;base=LAW&amp;n=409955&amp;dst=100022" TargetMode="External"/><Relationship Id="rId29" Type="http://schemas.openxmlformats.org/officeDocument/2006/relationships/hyperlink" Target="https://login.consultant.ru/link/?req=doc&amp;base=LAW&amp;n=409955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0403&amp;dst=100005" TargetMode="External"/><Relationship Id="rId11" Type="http://schemas.openxmlformats.org/officeDocument/2006/relationships/hyperlink" Target="https://login.consultant.ru/link/?req=doc&amp;base=LAW&amp;n=467303&amp;dst=100018" TargetMode="External"/><Relationship Id="rId24" Type="http://schemas.openxmlformats.org/officeDocument/2006/relationships/hyperlink" Target="https://login.consultant.ru/link/?req=doc&amp;base=LAW&amp;n=409955&amp;dst=100024" TargetMode="External"/><Relationship Id="rId32" Type="http://schemas.openxmlformats.org/officeDocument/2006/relationships/hyperlink" Target="https://login.consultant.ru/link/?req=doc&amp;base=LAW&amp;n=409955&amp;dst=10004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0642&amp;dst=100189" TargetMode="External"/><Relationship Id="rId15" Type="http://schemas.openxmlformats.org/officeDocument/2006/relationships/hyperlink" Target="https://login.consultant.ru/link/?req=doc&amp;base=LAW&amp;n=467303&amp;dst=100018" TargetMode="External"/><Relationship Id="rId23" Type="http://schemas.openxmlformats.org/officeDocument/2006/relationships/hyperlink" Target="https://login.consultant.ru/link/?req=doc&amp;base=LAW&amp;n=467303&amp;dst=100018" TargetMode="External"/><Relationship Id="rId28" Type="http://schemas.openxmlformats.org/officeDocument/2006/relationships/hyperlink" Target="https://login.consultant.ru/link/?req=doc&amp;base=LAW&amp;n=409955&amp;dst=10003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9955&amp;dst=100005" TargetMode="External"/><Relationship Id="rId19" Type="http://schemas.openxmlformats.org/officeDocument/2006/relationships/hyperlink" Target="https://login.consultant.ru/link/?req=doc&amp;base=LAW&amp;n=409955&amp;dst=100023" TargetMode="External"/><Relationship Id="rId31" Type="http://schemas.openxmlformats.org/officeDocument/2006/relationships/hyperlink" Target="https://login.consultant.ru/link/?req=doc&amp;base=LAW&amp;n=409955&amp;dst=1000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0403&amp;dst=100005" TargetMode="External"/><Relationship Id="rId14" Type="http://schemas.openxmlformats.org/officeDocument/2006/relationships/hyperlink" Target="https://login.consultant.ru/link/?req=doc&amp;base=LAW&amp;n=409955&amp;dst=100020" TargetMode="External"/><Relationship Id="rId22" Type="http://schemas.openxmlformats.org/officeDocument/2006/relationships/hyperlink" Target="https://login.consultant.ru/link/?req=doc&amp;base=LAW&amp;n=409955&amp;dst=100024" TargetMode="External"/><Relationship Id="rId27" Type="http://schemas.openxmlformats.org/officeDocument/2006/relationships/hyperlink" Target="https://login.consultant.ru/link/?req=doc&amp;base=LAW&amp;n=409955&amp;dst=100028" TargetMode="External"/><Relationship Id="rId30" Type="http://schemas.openxmlformats.org/officeDocument/2006/relationships/hyperlink" Target="https://login.consultant.ru/link/?req=doc&amp;base=LAW&amp;n=409955&amp;dst=100041" TargetMode="External"/><Relationship Id="rId35" Type="http://schemas.openxmlformats.org/officeDocument/2006/relationships/hyperlink" Target="https://login.consultant.ru/link/?req=doc&amp;base=LAW&amp;n=479354&amp;dst=100158" TargetMode="External"/><Relationship Id="rId8" Type="http://schemas.openxmlformats.org/officeDocument/2006/relationships/hyperlink" Target="https://login.consultant.ru/link/?req=doc&amp;base=LAW&amp;n=460642&amp;dst=10018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2024-12-20T12:52:00Z</dcterms:created>
  <dcterms:modified xsi:type="dcterms:W3CDTF">2024-12-20T12:52:00Z</dcterms:modified>
</cp:coreProperties>
</file>